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6D0" w:rsidRPr="00D00E69" w:rsidRDefault="00DC76D0" w:rsidP="00DC76D0">
      <w:pPr>
        <w:autoSpaceDE w:val="0"/>
        <w:autoSpaceDN w:val="0"/>
        <w:adjustRightInd w:val="0"/>
        <w:jc w:val="center"/>
        <w:rPr>
          <w:rFonts w:ascii="AusGov Inline 4U" w:hAnsi="AusGov Inline 4U"/>
          <w:sz w:val="200"/>
          <w:szCs w:val="200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1219200" cy="923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6D0" w:rsidRDefault="00DC76D0" w:rsidP="00DC76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Veterans’ Review Board</w:t>
      </w:r>
    </w:p>
    <w:p w:rsidR="00DC76D0" w:rsidRPr="004A5BBC" w:rsidRDefault="00DC76D0" w:rsidP="00DC76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DC76D0" w:rsidRDefault="00601E5A" w:rsidP="00DC76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32"/>
          <w:szCs w:val="32"/>
        </w:rPr>
      </w:pPr>
      <w:r>
        <w:rPr>
          <w:rFonts w:ascii="Arial" w:hAnsi="Arial" w:cs="Arial"/>
          <w:b/>
          <w:bCs/>
          <w:color w:val="0070C0"/>
          <w:sz w:val="32"/>
          <w:szCs w:val="32"/>
        </w:rPr>
        <w:t>Practic</w:t>
      </w:r>
      <w:r w:rsidR="008F79C6">
        <w:rPr>
          <w:rFonts w:ascii="Arial" w:hAnsi="Arial" w:cs="Arial"/>
          <w:b/>
          <w:bCs/>
          <w:color w:val="0070C0"/>
          <w:sz w:val="32"/>
          <w:szCs w:val="32"/>
        </w:rPr>
        <w:t>e Note 2</w:t>
      </w:r>
      <w:r w:rsidR="00D7768A">
        <w:rPr>
          <w:rFonts w:ascii="Arial" w:hAnsi="Arial" w:cs="Arial"/>
          <w:b/>
          <w:bCs/>
          <w:color w:val="0070C0"/>
          <w:sz w:val="32"/>
          <w:szCs w:val="32"/>
        </w:rPr>
        <w:t xml:space="preserve"> of 2018</w:t>
      </w:r>
    </w:p>
    <w:p w:rsidR="00DC76D0" w:rsidRDefault="00DC76D0" w:rsidP="00DC76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32"/>
          <w:szCs w:val="32"/>
        </w:rPr>
      </w:pPr>
      <w:r>
        <w:rPr>
          <w:rFonts w:ascii="Arial" w:hAnsi="Arial" w:cs="Arial"/>
          <w:b/>
          <w:bCs/>
          <w:color w:val="0070C0"/>
          <w:sz w:val="32"/>
          <w:szCs w:val="32"/>
        </w:rPr>
        <w:t>Conduct of Representatives</w:t>
      </w:r>
    </w:p>
    <w:p w:rsidR="00DC76D0" w:rsidRPr="008E2387" w:rsidRDefault="00DC76D0" w:rsidP="00DC76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</w:rPr>
      </w:pP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  <w:r w:rsidRPr="008E2387">
        <w:rPr>
          <w:rFonts w:ascii="Arial" w:hAnsi="Arial" w:cs="Arial"/>
          <w:b/>
          <w:color w:val="0070C0"/>
        </w:rPr>
        <w:t>The parties to the review</w:t>
      </w: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Every application before the Board has two parties to the review</w:t>
      </w:r>
      <w:r w:rsidR="00601E5A" w:rsidRPr="008E2387">
        <w:rPr>
          <w:rFonts w:ascii="Arial" w:hAnsi="Arial" w:cs="Arial"/>
        </w:rPr>
        <w:t>. T</w:t>
      </w:r>
      <w:r w:rsidR="00D12BD2" w:rsidRPr="008E2387">
        <w:rPr>
          <w:rFonts w:ascii="Arial" w:hAnsi="Arial" w:cs="Arial"/>
        </w:rPr>
        <w:t>hey are called “the </w:t>
      </w:r>
      <w:r w:rsidRPr="008E2387">
        <w:rPr>
          <w:rFonts w:ascii="Arial" w:hAnsi="Arial" w:cs="Arial"/>
        </w:rPr>
        <w:t xml:space="preserve">applicant” and “the respondent”. </w:t>
      </w: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  <w:b/>
        </w:rPr>
        <w:t>The applicant</w:t>
      </w:r>
      <w:r w:rsidRPr="008E2387">
        <w:rPr>
          <w:rFonts w:ascii="Arial" w:hAnsi="Arial" w:cs="Arial"/>
        </w:rPr>
        <w:t xml:space="preserve"> is the person who has sought review of a decision. </w:t>
      </w: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  <w:b/>
        </w:rPr>
        <w:t>The respondent</w:t>
      </w:r>
      <w:r w:rsidR="00D7768A" w:rsidRPr="008E2387">
        <w:rPr>
          <w:rFonts w:ascii="Arial" w:hAnsi="Arial" w:cs="Arial"/>
        </w:rPr>
        <w:t xml:space="preserve"> is the party</w:t>
      </w:r>
      <w:r w:rsidRPr="008E2387">
        <w:rPr>
          <w:rFonts w:ascii="Arial" w:hAnsi="Arial" w:cs="Arial"/>
        </w:rPr>
        <w:t xml:space="preserve"> who made the decision, either</w:t>
      </w:r>
      <w:r w:rsidR="00E675F2" w:rsidRPr="008E2387">
        <w:rPr>
          <w:rFonts w:ascii="Arial" w:hAnsi="Arial" w:cs="Arial"/>
        </w:rPr>
        <w:t xml:space="preserve"> the Repatriation Commission or </w:t>
      </w:r>
      <w:r w:rsidRPr="008E2387">
        <w:rPr>
          <w:rFonts w:ascii="Arial" w:hAnsi="Arial" w:cs="Arial"/>
        </w:rPr>
        <w:t xml:space="preserve">the Military Rehabilitation and Compensation </w:t>
      </w:r>
      <w:r w:rsidR="00E675F2" w:rsidRPr="008E2387">
        <w:rPr>
          <w:rFonts w:ascii="Arial" w:hAnsi="Arial" w:cs="Arial"/>
        </w:rPr>
        <w:t xml:space="preserve">Commission. </w:t>
      </w:r>
      <w:r w:rsidRPr="008E2387">
        <w:rPr>
          <w:rFonts w:ascii="Arial" w:hAnsi="Arial" w:cs="Arial"/>
        </w:rPr>
        <w:t xml:space="preserve"> </w:t>
      </w: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C76D0" w:rsidRPr="008E2387" w:rsidRDefault="00CA181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 xml:space="preserve">All </w:t>
      </w:r>
      <w:r w:rsidR="00DC76D0" w:rsidRPr="008E2387">
        <w:rPr>
          <w:rFonts w:ascii="Arial" w:hAnsi="Arial" w:cs="Arial"/>
        </w:rPr>
        <w:t xml:space="preserve">parties to a review before the Board have a right to appoint a person to represent them. </w:t>
      </w:r>
    </w:p>
    <w:p w:rsidR="00302801" w:rsidRPr="008E2387" w:rsidRDefault="00302801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02801" w:rsidRPr="008E2387" w:rsidRDefault="006B1ACC" w:rsidP="00DC76D0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  <w:r w:rsidRPr="008E2387">
        <w:rPr>
          <w:rFonts w:ascii="Arial" w:hAnsi="Arial" w:cs="Arial"/>
          <w:b/>
          <w:color w:val="0070C0"/>
        </w:rPr>
        <w:t>Who can be a representative</w:t>
      </w:r>
      <w:r w:rsidR="00E675F2" w:rsidRPr="008E2387">
        <w:rPr>
          <w:rFonts w:ascii="Arial" w:hAnsi="Arial" w:cs="Arial"/>
          <w:b/>
          <w:color w:val="0070C0"/>
        </w:rPr>
        <w:t>?</w:t>
      </w:r>
    </w:p>
    <w:p w:rsidR="00302801" w:rsidRPr="008E2387" w:rsidRDefault="00302801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02801" w:rsidRPr="008E2387" w:rsidRDefault="00302801" w:rsidP="0030280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8E2387">
        <w:rPr>
          <w:rFonts w:ascii="Arial" w:eastAsiaTheme="minorHAnsi" w:hAnsi="Arial" w:cs="Arial"/>
          <w:lang w:eastAsia="en-US"/>
        </w:rPr>
        <w:t xml:space="preserve">Many Ex-Service Organisations, and some private individuals, provide representation for applicants before the Board. </w:t>
      </w:r>
    </w:p>
    <w:p w:rsidR="00302801" w:rsidRPr="008E2387" w:rsidRDefault="00302801" w:rsidP="0030280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302801" w:rsidRPr="008E2387" w:rsidRDefault="00B979B1" w:rsidP="00B979B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E2387">
        <w:rPr>
          <w:rFonts w:ascii="Arial" w:eastAsiaTheme="minorHAnsi" w:hAnsi="Arial" w:cs="Arial"/>
          <w:lang w:eastAsia="en-US"/>
        </w:rPr>
        <w:t>L</w:t>
      </w:r>
      <w:r w:rsidR="00302801" w:rsidRPr="008E2387">
        <w:rPr>
          <w:rFonts w:ascii="Arial" w:hAnsi="Arial" w:cs="Arial"/>
        </w:rPr>
        <w:t xml:space="preserve">egally qualified persons can </w:t>
      </w:r>
      <w:r w:rsidR="00E675F2" w:rsidRPr="008E2387">
        <w:rPr>
          <w:rFonts w:ascii="Arial" w:hAnsi="Arial" w:cs="Arial"/>
        </w:rPr>
        <w:t xml:space="preserve">also </w:t>
      </w:r>
      <w:r w:rsidR="00302801" w:rsidRPr="008E2387">
        <w:rPr>
          <w:rFonts w:ascii="Arial" w:hAnsi="Arial" w:cs="Arial"/>
        </w:rPr>
        <w:t>provide representation for applicants at the Board in the following ways:</w:t>
      </w:r>
    </w:p>
    <w:p w:rsidR="00302801" w:rsidRPr="008E2387" w:rsidRDefault="00302801" w:rsidP="0030280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02801" w:rsidRPr="008E2387" w:rsidRDefault="00302801" w:rsidP="00302801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Help prepare an appeal;</w:t>
      </w:r>
    </w:p>
    <w:p w:rsidR="00302801" w:rsidRPr="008E2387" w:rsidRDefault="00302801" w:rsidP="00302801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Participate in all aspects of t</w:t>
      </w:r>
      <w:r w:rsidR="008630AE" w:rsidRPr="008E2387">
        <w:rPr>
          <w:rFonts w:ascii="Arial" w:hAnsi="Arial" w:cs="Arial"/>
        </w:rPr>
        <w:t xml:space="preserve">he </w:t>
      </w:r>
      <w:r w:rsidR="008630AE" w:rsidRPr="008E2387">
        <w:rPr>
          <w:rFonts w:ascii="Arial" w:eastAsiaTheme="minorHAnsi" w:hAnsi="Arial" w:cs="Arial"/>
          <w:lang w:eastAsia="en-US"/>
        </w:rPr>
        <w:t>Alternative Dispute Resolution</w:t>
      </w:r>
      <w:r w:rsidR="00601E5A" w:rsidRPr="008E2387">
        <w:rPr>
          <w:rFonts w:ascii="Arial" w:eastAsiaTheme="minorHAnsi" w:hAnsi="Arial" w:cs="Arial"/>
          <w:lang w:eastAsia="en-US"/>
        </w:rPr>
        <w:t xml:space="preserve"> (ADR)</w:t>
      </w:r>
      <w:r w:rsidRPr="008E2387">
        <w:rPr>
          <w:rFonts w:ascii="Arial" w:hAnsi="Arial" w:cs="Arial"/>
        </w:rPr>
        <w:t xml:space="preserve"> program; and </w:t>
      </w:r>
    </w:p>
    <w:p w:rsidR="00302801" w:rsidRPr="008E2387" w:rsidRDefault="00302801" w:rsidP="00302801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Provide wri</w:t>
      </w:r>
      <w:r w:rsidR="008630AE" w:rsidRPr="008E2387">
        <w:rPr>
          <w:rFonts w:ascii="Arial" w:hAnsi="Arial" w:cs="Arial"/>
        </w:rPr>
        <w:t xml:space="preserve">tten submissions for a hearing. </w:t>
      </w:r>
    </w:p>
    <w:p w:rsidR="008630AE" w:rsidRPr="008E2387" w:rsidRDefault="008630AE" w:rsidP="008630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30AE" w:rsidRPr="008E2387" w:rsidRDefault="00B979B1" w:rsidP="003028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E2387">
        <w:rPr>
          <w:rFonts w:ascii="Arial" w:hAnsi="Arial" w:cs="Arial"/>
        </w:rPr>
        <w:t xml:space="preserve">However, </w:t>
      </w:r>
      <w:r w:rsidRPr="008E2387">
        <w:rPr>
          <w:rFonts w:ascii="Arial" w:eastAsiaTheme="minorHAnsi" w:hAnsi="Arial" w:cs="Arial"/>
          <w:lang w:eastAsia="en-US"/>
        </w:rPr>
        <w:t>lawyers are prevented from appearing for a party at a hearing</w:t>
      </w:r>
      <w:r w:rsidRPr="008E2387">
        <w:rPr>
          <w:rStyle w:val="EndnoteReference"/>
          <w:rFonts w:ascii="Arial" w:eastAsiaTheme="minorHAnsi" w:hAnsi="Arial" w:cs="Arial"/>
          <w:lang w:eastAsia="en-US"/>
        </w:rPr>
        <w:endnoteReference w:id="1"/>
      </w:r>
      <w:r w:rsidRPr="008E2387">
        <w:rPr>
          <w:rFonts w:ascii="Arial" w:eastAsiaTheme="minorHAnsi" w:hAnsi="Arial" w:cs="Arial"/>
          <w:lang w:eastAsia="en-US"/>
        </w:rPr>
        <w:t>.</w:t>
      </w:r>
    </w:p>
    <w:p w:rsidR="00B979B1" w:rsidRPr="008E2387" w:rsidRDefault="00B979B1" w:rsidP="003028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302801" w:rsidRPr="008E2387" w:rsidRDefault="00302801" w:rsidP="003028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E2387">
        <w:rPr>
          <w:rFonts w:ascii="Arial" w:eastAsiaTheme="minorHAnsi" w:hAnsi="Arial" w:cs="Arial"/>
          <w:lang w:eastAsia="en-US"/>
        </w:rPr>
        <w:t>The Repatriation Commission, the Military Rehabilitation and C</w:t>
      </w:r>
      <w:r w:rsidR="008630AE" w:rsidRPr="008E2387">
        <w:rPr>
          <w:rFonts w:ascii="Arial" w:eastAsiaTheme="minorHAnsi" w:hAnsi="Arial" w:cs="Arial"/>
          <w:lang w:eastAsia="en-US"/>
        </w:rPr>
        <w:t xml:space="preserve">ompensation Commission, or Service Chief </w:t>
      </w:r>
      <w:r w:rsidR="00B979B1" w:rsidRPr="008E2387">
        <w:rPr>
          <w:rFonts w:ascii="Arial" w:eastAsiaTheme="minorHAnsi" w:hAnsi="Arial" w:cs="Arial"/>
          <w:lang w:eastAsia="en-US"/>
        </w:rPr>
        <w:t>may</w:t>
      </w:r>
      <w:r w:rsidR="008630AE" w:rsidRPr="008E2387">
        <w:rPr>
          <w:rFonts w:ascii="Arial" w:eastAsiaTheme="minorHAnsi" w:hAnsi="Arial" w:cs="Arial"/>
          <w:lang w:eastAsia="en-US"/>
        </w:rPr>
        <w:t xml:space="preserve"> be represented, but they rarely choose to do so at Board hearings. However, </w:t>
      </w:r>
      <w:r w:rsidR="00E675F2" w:rsidRPr="008E2387">
        <w:rPr>
          <w:rFonts w:ascii="Arial" w:eastAsiaTheme="minorHAnsi" w:hAnsi="Arial" w:cs="Arial"/>
          <w:lang w:eastAsia="en-US"/>
        </w:rPr>
        <w:t>in some cases</w:t>
      </w:r>
      <w:r w:rsidR="008630AE" w:rsidRPr="008E2387">
        <w:rPr>
          <w:rFonts w:ascii="Arial" w:eastAsiaTheme="minorHAnsi" w:hAnsi="Arial" w:cs="Arial"/>
          <w:lang w:eastAsia="en-US"/>
        </w:rPr>
        <w:t xml:space="preserve"> representative</w:t>
      </w:r>
      <w:r w:rsidR="00E675F2" w:rsidRPr="008E2387">
        <w:rPr>
          <w:rFonts w:ascii="Arial" w:eastAsiaTheme="minorHAnsi" w:hAnsi="Arial" w:cs="Arial"/>
          <w:lang w:eastAsia="en-US"/>
        </w:rPr>
        <w:t>s</w:t>
      </w:r>
      <w:r w:rsidR="008630AE" w:rsidRPr="008E2387">
        <w:rPr>
          <w:rFonts w:ascii="Arial" w:eastAsiaTheme="minorHAnsi" w:hAnsi="Arial" w:cs="Arial"/>
          <w:lang w:eastAsia="en-US"/>
        </w:rPr>
        <w:t xml:space="preserve"> fo</w:t>
      </w:r>
      <w:r w:rsidR="00E675F2" w:rsidRPr="008E2387">
        <w:rPr>
          <w:rFonts w:ascii="Arial" w:eastAsiaTheme="minorHAnsi" w:hAnsi="Arial" w:cs="Arial"/>
          <w:lang w:eastAsia="en-US"/>
        </w:rPr>
        <w:t>r the respondent are</w:t>
      </w:r>
      <w:r w:rsidR="008630AE" w:rsidRPr="008E2387">
        <w:rPr>
          <w:rFonts w:ascii="Arial" w:eastAsiaTheme="minorHAnsi" w:hAnsi="Arial" w:cs="Arial"/>
          <w:lang w:eastAsia="en-US"/>
        </w:rPr>
        <w:t xml:space="preserve"> required to attend </w:t>
      </w:r>
      <w:r w:rsidR="00E675F2" w:rsidRPr="008E2387">
        <w:rPr>
          <w:rFonts w:ascii="Arial" w:eastAsiaTheme="minorHAnsi" w:hAnsi="Arial" w:cs="Arial"/>
          <w:lang w:eastAsia="en-US"/>
        </w:rPr>
        <w:t xml:space="preserve">ADR events or </w:t>
      </w:r>
      <w:r w:rsidR="008630AE" w:rsidRPr="008E2387">
        <w:rPr>
          <w:rFonts w:ascii="Arial" w:eastAsiaTheme="minorHAnsi" w:hAnsi="Arial" w:cs="Arial"/>
          <w:lang w:eastAsia="en-US"/>
        </w:rPr>
        <w:t xml:space="preserve">directions hearings. </w:t>
      </w: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30AE" w:rsidRPr="008E2387" w:rsidRDefault="008630AE" w:rsidP="00DC76D0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</w:p>
    <w:p w:rsidR="00D54A7A" w:rsidRPr="008E2387" w:rsidRDefault="00D54A7A" w:rsidP="00D54A7A">
      <w:pPr>
        <w:spacing w:after="160" w:line="259" w:lineRule="auto"/>
        <w:rPr>
          <w:rFonts w:ascii="Arial" w:hAnsi="Arial" w:cs="Arial"/>
          <w:b/>
          <w:color w:val="0070C0"/>
        </w:rPr>
      </w:pPr>
    </w:p>
    <w:p w:rsidR="00601E5A" w:rsidRPr="008E2387" w:rsidRDefault="00601E5A">
      <w:pPr>
        <w:spacing w:after="160" w:line="259" w:lineRule="auto"/>
        <w:rPr>
          <w:rFonts w:ascii="Arial" w:hAnsi="Arial" w:cs="Arial"/>
          <w:b/>
          <w:color w:val="0070C0"/>
        </w:rPr>
      </w:pPr>
      <w:r w:rsidRPr="008E2387">
        <w:rPr>
          <w:rFonts w:ascii="Arial" w:hAnsi="Arial" w:cs="Arial"/>
          <w:b/>
          <w:color w:val="0070C0"/>
        </w:rPr>
        <w:br w:type="page"/>
      </w:r>
    </w:p>
    <w:p w:rsidR="00DC76D0" w:rsidRPr="008E2387" w:rsidRDefault="008630AE" w:rsidP="00D54A7A">
      <w:pPr>
        <w:spacing w:after="160" w:line="259" w:lineRule="auto"/>
        <w:rPr>
          <w:rFonts w:ascii="Arial" w:hAnsi="Arial" w:cs="Arial"/>
          <w:b/>
          <w:color w:val="0070C0"/>
        </w:rPr>
      </w:pPr>
      <w:r w:rsidRPr="008E2387">
        <w:rPr>
          <w:rFonts w:ascii="Arial" w:hAnsi="Arial" w:cs="Arial"/>
          <w:b/>
          <w:color w:val="0070C0"/>
        </w:rPr>
        <w:lastRenderedPageBreak/>
        <w:t xml:space="preserve">Conduct of representatives </w:t>
      </w:r>
    </w:p>
    <w:p w:rsidR="002E075C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 xml:space="preserve">Representatives are an integral part of the </w:t>
      </w:r>
      <w:r w:rsidR="00D7768A" w:rsidRPr="008E2387">
        <w:rPr>
          <w:rFonts w:ascii="Arial" w:hAnsi="Arial" w:cs="Arial"/>
        </w:rPr>
        <w:t xml:space="preserve">veterans’ review framework </w:t>
      </w:r>
      <w:r w:rsidRPr="008E2387">
        <w:rPr>
          <w:rFonts w:ascii="Arial" w:hAnsi="Arial" w:cs="Arial"/>
        </w:rPr>
        <w:t xml:space="preserve">and play an important role in assisting </w:t>
      </w:r>
      <w:r w:rsidR="00B979B1" w:rsidRPr="008E2387">
        <w:rPr>
          <w:rFonts w:ascii="Arial" w:hAnsi="Arial" w:cs="Arial"/>
        </w:rPr>
        <w:t xml:space="preserve">and supporting serving members, </w:t>
      </w:r>
      <w:r w:rsidRPr="008E2387">
        <w:rPr>
          <w:rFonts w:ascii="Arial" w:hAnsi="Arial" w:cs="Arial"/>
        </w:rPr>
        <w:t xml:space="preserve">veterans and their </w:t>
      </w:r>
      <w:r w:rsidR="00E675F2" w:rsidRPr="008E2387">
        <w:rPr>
          <w:rFonts w:ascii="Arial" w:hAnsi="Arial" w:cs="Arial"/>
        </w:rPr>
        <w:t xml:space="preserve">families. </w:t>
      </w:r>
    </w:p>
    <w:p w:rsidR="002E075C" w:rsidRPr="008E2387" w:rsidRDefault="002E075C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075C" w:rsidRPr="008E2387" w:rsidRDefault="002E075C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 xml:space="preserve">Where a lawyer acts as a representative </w:t>
      </w:r>
      <w:r w:rsidR="005448E8" w:rsidRPr="008E2387">
        <w:rPr>
          <w:rFonts w:ascii="Arial" w:hAnsi="Arial" w:cs="Arial"/>
        </w:rPr>
        <w:t>for a veteran</w:t>
      </w:r>
      <w:r w:rsidRPr="008E2387">
        <w:rPr>
          <w:rFonts w:ascii="Arial" w:hAnsi="Arial" w:cs="Arial"/>
        </w:rPr>
        <w:t>, he or she</w:t>
      </w:r>
      <w:r w:rsidR="00E675F2" w:rsidRPr="008E2387">
        <w:rPr>
          <w:rFonts w:ascii="Arial" w:hAnsi="Arial" w:cs="Arial"/>
        </w:rPr>
        <w:t xml:space="preserve"> is bound by the Conduct Rules and any s</w:t>
      </w:r>
      <w:r w:rsidR="00B979B1" w:rsidRPr="008E2387">
        <w:rPr>
          <w:rFonts w:ascii="Arial" w:hAnsi="Arial" w:cs="Arial"/>
        </w:rPr>
        <w:t>tatement of ethics made by the relevant</w:t>
      </w:r>
      <w:r w:rsidR="00E675F2" w:rsidRPr="008E2387">
        <w:rPr>
          <w:rFonts w:ascii="Arial" w:hAnsi="Arial" w:cs="Arial"/>
        </w:rPr>
        <w:t xml:space="preserve"> </w:t>
      </w:r>
      <w:r w:rsidR="00D7768A" w:rsidRPr="008E2387">
        <w:rPr>
          <w:rFonts w:ascii="Arial" w:hAnsi="Arial" w:cs="Arial"/>
        </w:rPr>
        <w:t>state-</w:t>
      </w:r>
      <w:r w:rsidRPr="008E2387">
        <w:rPr>
          <w:rFonts w:ascii="Arial" w:hAnsi="Arial" w:cs="Arial"/>
        </w:rPr>
        <w:t>based law society. Non-lawyers may b</w:t>
      </w:r>
      <w:r w:rsidR="001275E8" w:rsidRPr="008E2387">
        <w:rPr>
          <w:rFonts w:ascii="Arial" w:hAnsi="Arial" w:cs="Arial"/>
        </w:rPr>
        <w:t>e bound by other codes</w:t>
      </w:r>
      <w:r w:rsidRPr="008E2387">
        <w:rPr>
          <w:rFonts w:ascii="Arial" w:hAnsi="Arial" w:cs="Arial"/>
        </w:rPr>
        <w:t>, such as the A</w:t>
      </w:r>
      <w:r w:rsidR="00D7768A" w:rsidRPr="008E2387">
        <w:rPr>
          <w:rFonts w:ascii="Arial" w:hAnsi="Arial" w:cs="Arial"/>
        </w:rPr>
        <w:t>dvocacy Training and Development Program (A</w:t>
      </w:r>
      <w:r w:rsidRPr="008E2387">
        <w:rPr>
          <w:rFonts w:ascii="Arial" w:hAnsi="Arial" w:cs="Arial"/>
        </w:rPr>
        <w:t>DTP</w:t>
      </w:r>
      <w:r w:rsidR="00D7768A" w:rsidRPr="008E2387">
        <w:rPr>
          <w:rFonts w:ascii="Arial" w:hAnsi="Arial" w:cs="Arial"/>
        </w:rPr>
        <w:t>)</w:t>
      </w:r>
      <w:r w:rsidRPr="008E2387">
        <w:rPr>
          <w:rFonts w:ascii="Arial" w:hAnsi="Arial" w:cs="Arial"/>
        </w:rPr>
        <w:t xml:space="preserve"> Code of Ethics. </w:t>
      </w:r>
    </w:p>
    <w:p w:rsidR="00F409A0" w:rsidRPr="008E2387" w:rsidRDefault="00F409A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275E8" w:rsidRPr="008E2387" w:rsidRDefault="00F409A0" w:rsidP="00DC76D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E2387">
        <w:rPr>
          <w:rFonts w:ascii="Arial" w:hAnsi="Arial" w:cs="Arial"/>
        </w:rPr>
        <w:t>The legislation</w:t>
      </w:r>
      <w:r w:rsidR="001275E8" w:rsidRPr="008E2387">
        <w:rPr>
          <w:rStyle w:val="EndnoteReference"/>
          <w:rFonts w:ascii="Arial" w:hAnsi="Arial" w:cs="Arial"/>
        </w:rPr>
        <w:endnoteReference w:id="2"/>
      </w:r>
      <w:r w:rsidR="001275E8" w:rsidRPr="008E2387">
        <w:rPr>
          <w:rFonts w:ascii="Arial" w:hAnsi="Arial" w:cs="Arial"/>
        </w:rPr>
        <w:t xml:space="preserve"> </w:t>
      </w:r>
      <w:r w:rsidRPr="008E2387">
        <w:rPr>
          <w:rFonts w:ascii="Arial" w:hAnsi="Arial" w:cs="Arial"/>
        </w:rPr>
        <w:t xml:space="preserve">requires all representatives before the Board </w:t>
      </w:r>
      <w:r w:rsidRPr="008E2387">
        <w:rPr>
          <w:rFonts w:ascii="Arial" w:eastAsiaTheme="minorHAnsi" w:hAnsi="Arial" w:cs="Arial"/>
          <w:lang w:eastAsia="en-US"/>
        </w:rPr>
        <w:t xml:space="preserve">to use their best endeavours to assist the Board to fulfil </w:t>
      </w:r>
      <w:r w:rsidR="001275E8" w:rsidRPr="008E2387">
        <w:rPr>
          <w:rFonts w:ascii="Arial" w:eastAsiaTheme="minorHAnsi" w:hAnsi="Arial" w:cs="Arial"/>
          <w:lang w:eastAsia="en-US"/>
        </w:rPr>
        <w:t xml:space="preserve">its objective of providing a mechanism of review that is accessible, fair, just, economical, informal and quick. </w:t>
      </w:r>
    </w:p>
    <w:p w:rsidR="001275E8" w:rsidRPr="008E2387" w:rsidRDefault="001275E8" w:rsidP="00DC76D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C76D0" w:rsidRPr="008E2387" w:rsidRDefault="001275E8" w:rsidP="00DC76D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E2387">
        <w:rPr>
          <w:rFonts w:ascii="Arial" w:eastAsiaTheme="minorHAnsi" w:hAnsi="Arial" w:cs="Arial"/>
          <w:lang w:eastAsia="en-US"/>
        </w:rPr>
        <w:t>To do this, r</w:t>
      </w:r>
      <w:r w:rsidR="006B1ACC" w:rsidRPr="008E2387">
        <w:rPr>
          <w:rFonts w:ascii="Arial" w:hAnsi="Arial" w:cs="Arial"/>
        </w:rPr>
        <w:t>epresentatives</w:t>
      </w:r>
      <w:r w:rsidR="00DC76D0" w:rsidRPr="008E2387">
        <w:rPr>
          <w:rFonts w:ascii="Arial" w:hAnsi="Arial" w:cs="Arial"/>
        </w:rPr>
        <w:t xml:space="preserve"> should prese</w:t>
      </w:r>
      <w:r w:rsidR="006B1ACC" w:rsidRPr="008E2387">
        <w:rPr>
          <w:rFonts w:ascii="Arial" w:hAnsi="Arial" w:cs="Arial"/>
        </w:rPr>
        <w:t>nt the case to the best of their</w:t>
      </w:r>
      <w:r w:rsidR="00DC76D0" w:rsidRPr="008E2387">
        <w:rPr>
          <w:rFonts w:ascii="Arial" w:hAnsi="Arial" w:cs="Arial"/>
        </w:rPr>
        <w:t xml:space="preserve"> ability and promote the timely resolution of the case consistent with the best interests of the applicant. This includes: </w:t>
      </w:r>
    </w:p>
    <w:p w:rsidR="00DC76D0" w:rsidRPr="008E2387" w:rsidRDefault="00DC76D0" w:rsidP="00DC76D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C76D0" w:rsidRPr="008E2387" w:rsidRDefault="00DC76D0" w:rsidP="00DC76D0">
      <w:pPr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 xml:space="preserve">only taking on </w:t>
      </w:r>
      <w:r w:rsidR="001275E8" w:rsidRPr="008E2387">
        <w:rPr>
          <w:rFonts w:ascii="Arial" w:hAnsi="Arial" w:cs="Arial"/>
        </w:rPr>
        <w:t xml:space="preserve">an amount of </w:t>
      </w:r>
      <w:r w:rsidRPr="008E2387">
        <w:rPr>
          <w:rFonts w:ascii="Arial" w:hAnsi="Arial" w:cs="Arial"/>
        </w:rPr>
        <w:t xml:space="preserve">work that </w:t>
      </w:r>
      <w:r w:rsidR="006B1ACC" w:rsidRPr="008E2387">
        <w:rPr>
          <w:rFonts w:ascii="Arial" w:hAnsi="Arial" w:cs="Arial"/>
        </w:rPr>
        <w:t>can be</w:t>
      </w:r>
      <w:r w:rsidRPr="008E2387">
        <w:rPr>
          <w:rFonts w:ascii="Arial" w:hAnsi="Arial" w:cs="Arial"/>
        </w:rPr>
        <w:t xml:space="preserve"> </w:t>
      </w:r>
      <w:r w:rsidR="001275E8" w:rsidRPr="008E2387">
        <w:rPr>
          <w:rFonts w:ascii="Arial" w:hAnsi="Arial" w:cs="Arial"/>
        </w:rPr>
        <w:t xml:space="preserve">done </w:t>
      </w:r>
      <w:r w:rsidRPr="008E2387">
        <w:rPr>
          <w:rFonts w:ascii="Arial" w:hAnsi="Arial" w:cs="Arial"/>
        </w:rPr>
        <w:t>efficiently in orde</w:t>
      </w:r>
      <w:r w:rsidR="00D7768A" w:rsidRPr="008E2387">
        <w:rPr>
          <w:rFonts w:ascii="Arial" w:hAnsi="Arial" w:cs="Arial"/>
        </w:rPr>
        <w:t>r to comply with timetables set</w:t>
      </w:r>
      <w:r w:rsidRPr="008E2387">
        <w:rPr>
          <w:rFonts w:ascii="Arial" w:hAnsi="Arial" w:cs="Arial"/>
        </w:rPr>
        <w:t xml:space="preserve"> by the Board;</w:t>
      </w:r>
    </w:p>
    <w:p w:rsidR="009002DD" w:rsidRPr="008E2387" w:rsidRDefault="009002DD" w:rsidP="009002DD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2E075C" w:rsidRPr="008E2387" w:rsidRDefault="002E075C" w:rsidP="00DC76D0">
      <w:pPr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obtain</w:t>
      </w:r>
      <w:r w:rsidR="00601E5A" w:rsidRPr="008E2387">
        <w:rPr>
          <w:rFonts w:ascii="Arial" w:hAnsi="Arial" w:cs="Arial"/>
        </w:rPr>
        <w:t>ing</w:t>
      </w:r>
      <w:r w:rsidRPr="008E2387">
        <w:rPr>
          <w:rFonts w:ascii="Arial" w:hAnsi="Arial" w:cs="Arial"/>
        </w:rPr>
        <w:t xml:space="preserve"> clear written</w:t>
      </w:r>
      <w:r w:rsidR="006B1ACC" w:rsidRPr="008E2387">
        <w:rPr>
          <w:rFonts w:ascii="Arial" w:hAnsi="Arial" w:cs="Arial"/>
        </w:rPr>
        <w:t>, s</w:t>
      </w:r>
      <w:r w:rsidR="009002DD" w:rsidRPr="008E2387">
        <w:rPr>
          <w:rFonts w:ascii="Arial" w:hAnsi="Arial" w:cs="Arial"/>
        </w:rPr>
        <w:t>igned,</w:t>
      </w:r>
      <w:r w:rsidRPr="008E2387">
        <w:rPr>
          <w:rFonts w:ascii="Arial" w:hAnsi="Arial" w:cs="Arial"/>
        </w:rPr>
        <w:t xml:space="preserve"> authorisation from </w:t>
      </w:r>
      <w:r w:rsidR="006B1ACC" w:rsidRPr="008E2387">
        <w:rPr>
          <w:rFonts w:ascii="Arial" w:hAnsi="Arial" w:cs="Arial"/>
        </w:rPr>
        <w:t>the person who is being represented</w:t>
      </w:r>
      <w:r w:rsidR="009002DD" w:rsidRPr="008E2387">
        <w:rPr>
          <w:rFonts w:ascii="Arial" w:hAnsi="Arial" w:cs="Arial"/>
        </w:rPr>
        <w:t xml:space="preserve">; </w:t>
      </w:r>
    </w:p>
    <w:p w:rsidR="00DC76D0" w:rsidRPr="008E2387" w:rsidRDefault="00DC76D0" w:rsidP="001275E8">
      <w:pPr>
        <w:jc w:val="both"/>
        <w:rPr>
          <w:rFonts w:ascii="Arial" w:hAnsi="Arial" w:cs="Arial"/>
        </w:rPr>
      </w:pPr>
    </w:p>
    <w:p w:rsidR="00DC76D0" w:rsidRPr="008E2387" w:rsidRDefault="00601E5A" w:rsidP="00DC76D0">
      <w:pPr>
        <w:numPr>
          <w:ilvl w:val="0"/>
          <w:numId w:val="1"/>
        </w:numPr>
        <w:tabs>
          <w:tab w:val="clear" w:pos="180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having</w:t>
      </w:r>
      <w:r w:rsidR="001275E8" w:rsidRPr="008E2387">
        <w:rPr>
          <w:rFonts w:ascii="Arial" w:hAnsi="Arial" w:cs="Arial"/>
        </w:rPr>
        <w:t xml:space="preserve"> the case ready to be progressed as soon </w:t>
      </w:r>
      <w:r w:rsidR="002E075C" w:rsidRPr="008E2387">
        <w:rPr>
          <w:rFonts w:ascii="Arial" w:hAnsi="Arial" w:cs="Arial"/>
        </w:rPr>
        <w:t>as practicable</w:t>
      </w:r>
      <w:r w:rsidR="00D7768A" w:rsidRPr="008E2387">
        <w:rPr>
          <w:rFonts w:ascii="Arial" w:hAnsi="Arial" w:cs="Arial"/>
        </w:rPr>
        <w:t xml:space="preserve"> including, wherever possible, </w:t>
      </w:r>
      <w:r w:rsidR="001275E8" w:rsidRPr="008E2387">
        <w:rPr>
          <w:rFonts w:ascii="Arial" w:hAnsi="Arial" w:cs="Arial"/>
        </w:rPr>
        <w:t xml:space="preserve">providing </w:t>
      </w:r>
      <w:r w:rsidR="00D54A7A" w:rsidRPr="008E2387">
        <w:rPr>
          <w:rFonts w:ascii="Arial" w:hAnsi="Arial" w:cs="Arial"/>
        </w:rPr>
        <w:t xml:space="preserve">written submissions </w:t>
      </w:r>
      <w:r w:rsidR="001275E8" w:rsidRPr="008E2387">
        <w:rPr>
          <w:rFonts w:ascii="Arial" w:hAnsi="Arial" w:cs="Arial"/>
        </w:rPr>
        <w:t>in adva</w:t>
      </w:r>
      <w:r w:rsidR="00D7768A" w:rsidRPr="008E2387">
        <w:rPr>
          <w:rFonts w:ascii="Arial" w:hAnsi="Arial" w:cs="Arial"/>
        </w:rPr>
        <w:t>nce of an ADR event or hearing;</w:t>
      </w:r>
    </w:p>
    <w:p w:rsidR="00D54A7A" w:rsidRPr="008E2387" w:rsidRDefault="00D54A7A" w:rsidP="00D54A7A">
      <w:pPr>
        <w:ind w:left="720"/>
        <w:jc w:val="both"/>
        <w:rPr>
          <w:rFonts w:ascii="Arial" w:hAnsi="Arial" w:cs="Arial"/>
        </w:rPr>
      </w:pPr>
    </w:p>
    <w:p w:rsidR="00D54A7A" w:rsidRPr="008E2387" w:rsidRDefault="00D54A7A" w:rsidP="00D54A7A">
      <w:pPr>
        <w:numPr>
          <w:ilvl w:val="0"/>
          <w:numId w:val="1"/>
        </w:numPr>
        <w:tabs>
          <w:tab w:val="clear" w:pos="180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be</w:t>
      </w:r>
      <w:r w:rsidR="00601E5A" w:rsidRPr="008E2387">
        <w:rPr>
          <w:rFonts w:ascii="Arial" w:hAnsi="Arial" w:cs="Arial"/>
        </w:rPr>
        <w:t>ing</w:t>
      </w:r>
      <w:r w:rsidRPr="008E2387">
        <w:rPr>
          <w:rFonts w:ascii="Arial" w:hAnsi="Arial" w:cs="Arial"/>
        </w:rPr>
        <w:t xml:space="preserve"> available for ADR events and hearings scheduled by the Board or </w:t>
      </w:r>
      <w:r w:rsidR="00601E5A" w:rsidRPr="008E2387">
        <w:rPr>
          <w:rFonts w:ascii="Arial" w:hAnsi="Arial" w:cs="Arial"/>
        </w:rPr>
        <w:t>ensuring</w:t>
      </w:r>
      <w:r w:rsidRPr="008E2387">
        <w:rPr>
          <w:rFonts w:ascii="Arial" w:hAnsi="Arial" w:cs="Arial"/>
        </w:rPr>
        <w:t xml:space="preserve"> files ar</w:t>
      </w:r>
      <w:r w:rsidR="00D7768A" w:rsidRPr="008E2387">
        <w:rPr>
          <w:rFonts w:ascii="Arial" w:hAnsi="Arial" w:cs="Arial"/>
        </w:rPr>
        <w:t>e accessible to another representative</w:t>
      </w:r>
      <w:r w:rsidRPr="008E2387">
        <w:rPr>
          <w:rFonts w:ascii="Arial" w:hAnsi="Arial" w:cs="Arial"/>
        </w:rPr>
        <w:t xml:space="preserve"> in the case of any absence</w:t>
      </w:r>
      <w:r w:rsidR="008016D0" w:rsidRPr="008E2387">
        <w:rPr>
          <w:rFonts w:ascii="Arial" w:hAnsi="Arial" w:cs="Arial"/>
        </w:rPr>
        <w:t xml:space="preserve"> (for example, this may require liaising with another organisation to make any necessary arrangements)</w:t>
      </w:r>
      <w:r w:rsidRPr="008E2387">
        <w:rPr>
          <w:rFonts w:ascii="Arial" w:hAnsi="Arial" w:cs="Arial"/>
        </w:rPr>
        <w:t xml:space="preserve">; </w:t>
      </w:r>
    </w:p>
    <w:p w:rsidR="00D54A7A" w:rsidRPr="008E2387" w:rsidRDefault="00D54A7A" w:rsidP="00D54A7A">
      <w:pPr>
        <w:pStyle w:val="ListParagraph"/>
        <w:rPr>
          <w:rFonts w:ascii="Arial" w:hAnsi="Arial" w:cs="Arial"/>
        </w:rPr>
      </w:pPr>
    </w:p>
    <w:p w:rsidR="00DC76D0" w:rsidRPr="008E2387" w:rsidRDefault="00DC76D0" w:rsidP="00D54A7A">
      <w:pPr>
        <w:numPr>
          <w:ilvl w:val="0"/>
          <w:numId w:val="1"/>
        </w:numPr>
        <w:tabs>
          <w:tab w:val="clear" w:pos="180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present</w:t>
      </w:r>
      <w:r w:rsidR="00601E5A" w:rsidRPr="008E2387">
        <w:rPr>
          <w:rFonts w:ascii="Arial" w:hAnsi="Arial" w:cs="Arial"/>
        </w:rPr>
        <w:t>ing</w:t>
      </w:r>
      <w:r w:rsidRPr="008E2387">
        <w:rPr>
          <w:rFonts w:ascii="Arial" w:hAnsi="Arial" w:cs="Arial"/>
        </w:rPr>
        <w:t xml:space="preserve"> the identified issues and relevant e</w:t>
      </w:r>
      <w:r w:rsidR="002E075C" w:rsidRPr="008E2387">
        <w:rPr>
          <w:rFonts w:ascii="Arial" w:hAnsi="Arial" w:cs="Arial"/>
        </w:rPr>
        <w:t>vidence clearly and succinctly</w:t>
      </w:r>
      <w:r w:rsidR="00601E5A" w:rsidRPr="008E2387">
        <w:rPr>
          <w:rFonts w:ascii="Arial" w:hAnsi="Arial" w:cs="Arial"/>
        </w:rPr>
        <w:t xml:space="preserve"> at ADR events and hearings</w:t>
      </w:r>
      <w:r w:rsidR="002E075C" w:rsidRPr="008E2387">
        <w:rPr>
          <w:rFonts w:ascii="Arial" w:hAnsi="Arial" w:cs="Arial"/>
        </w:rPr>
        <w:t xml:space="preserve">; </w:t>
      </w:r>
      <w:r w:rsidR="00D54A7A" w:rsidRPr="008E2387">
        <w:rPr>
          <w:rFonts w:ascii="Arial" w:hAnsi="Arial" w:cs="Arial"/>
        </w:rPr>
        <w:t xml:space="preserve">and </w:t>
      </w:r>
    </w:p>
    <w:p w:rsidR="006B1ACC" w:rsidRPr="008E2387" w:rsidRDefault="006B1ACC" w:rsidP="00D54A7A">
      <w:pPr>
        <w:rPr>
          <w:rFonts w:ascii="Arial" w:hAnsi="Arial" w:cs="Arial"/>
        </w:rPr>
      </w:pPr>
    </w:p>
    <w:p w:rsidR="006B1ACC" w:rsidRPr="008E2387" w:rsidRDefault="006B1ACC" w:rsidP="00DC76D0">
      <w:pPr>
        <w:numPr>
          <w:ilvl w:val="0"/>
          <w:numId w:val="1"/>
        </w:numPr>
        <w:tabs>
          <w:tab w:val="clear" w:pos="180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comply</w:t>
      </w:r>
      <w:r w:rsidR="00601E5A" w:rsidRPr="008E2387">
        <w:rPr>
          <w:rFonts w:ascii="Arial" w:hAnsi="Arial" w:cs="Arial"/>
        </w:rPr>
        <w:t>ing</w:t>
      </w:r>
      <w:r w:rsidRPr="008E2387">
        <w:rPr>
          <w:rFonts w:ascii="Arial" w:hAnsi="Arial" w:cs="Arial"/>
        </w:rPr>
        <w:t xml:space="preserve"> with the time limits and directions made by the Board, including fulfilling any undertakings that have been made to a Confer</w:t>
      </w:r>
      <w:r w:rsidR="00D54A7A" w:rsidRPr="008E2387">
        <w:rPr>
          <w:rFonts w:ascii="Arial" w:hAnsi="Arial" w:cs="Arial"/>
        </w:rPr>
        <w:t xml:space="preserve">ence Registrar or Board Member. </w:t>
      </w:r>
    </w:p>
    <w:p w:rsidR="00DC76D0" w:rsidRPr="008E2387" w:rsidRDefault="00DC76D0" w:rsidP="00DC76D0">
      <w:pPr>
        <w:jc w:val="both"/>
        <w:rPr>
          <w:rFonts w:ascii="Arial" w:hAnsi="Arial" w:cs="Arial"/>
        </w:rPr>
      </w:pPr>
    </w:p>
    <w:p w:rsidR="008E2387" w:rsidRDefault="008E2387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C76D0" w:rsidRPr="008E2387" w:rsidRDefault="00DC76D0" w:rsidP="00DC76D0">
      <w:pPr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lastRenderedPageBreak/>
        <w:t xml:space="preserve">In addition, </w:t>
      </w:r>
      <w:r w:rsidR="00601E5A" w:rsidRPr="008E2387">
        <w:rPr>
          <w:rFonts w:ascii="Arial" w:hAnsi="Arial" w:cs="Arial"/>
        </w:rPr>
        <w:t>representatives before the Board have a duty too</w:t>
      </w:r>
      <w:r w:rsidRPr="008E2387">
        <w:rPr>
          <w:rFonts w:ascii="Arial" w:hAnsi="Arial" w:cs="Arial"/>
        </w:rPr>
        <w:t>:</w:t>
      </w:r>
    </w:p>
    <w:p w:rsidR="00DC76D0" w:rsidRPr="008E2387" w:rsidRDefault="00DC76D0" w:rsidP="00DC76D0">
      <w:pPr>
        <w:jc w:val="both"/>
        <w:rPr>
          <w:rFonts w:ascii="Arial" w:hAnsi="Arial" w:cs="Arial"/>
        </w:rPr>
      </w:pPr>
    </w:p>
    <w:p w:rsidR="00DC76D0" w:rsidRPr="008E2387" w:rsidRDefault="00DC76D0" w:rsidP="00DC76D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not mislead the Board;</w:t>
      </w:r>
    </w:p>
    <w:p w:rsidR="00DC76D0" w:rsidRPr="008E2387" w:rsidRDefault="00DC76D0" w:rsidP="00DC76D0">
      <w:pPr>
        <w:ind w:left="360"/>
        <w:jc w:val="both"/>
        <w:rPr>
          <w:rFonts w:ascii="Arial" w:hAnsi="Arial" w:cs="Arial"/>
        </w:rPr>
      </w:pPr>
    </w:p>
    <w:p w:rsidR="00DC76D0" w:rsidRPr="008E2387" w:rsidRDefault="00601E5A" w:rsidP="00DC76D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 xml:space="preserve">maintain </w:t>
      </w:r>
      <w:r w:rsidR="00DC76D0" w:rsidRPr="008E2387">
        <w:rPr>
          <w:rFonts w:ascii="Arial" w:hAnsi="Arial" w:cs="Arial"/>
        </w:rPr>
        <w:t xml:space="preserve">objectivity and exercise independent judgment in the conduct and presentation of the case to the Board; </w:t>
      </w:r>
    </w:p>
    <w:p w:rsidR="00DC76D0" w:rsidRPr="008E2387" w:rsidRDefault="00DC76D0" w:rsidP="00DC76D0">
      <w:pPr>
        <w:ind w:left="360"/>
        <w:jc w:val="both"/>
        <w:rPr>
          <w:rFonts w:ascii="Arial" w:hAnsi="Arial" w:cs="Arial"/>
        </w:rPr>
      </w:pPr>
    </w:p>
    <w:p w:rsidR="00DC76D0" w:rsidRPr="008E2387" w:rsidRDefault="00DC76D0" w:rsidP="00DC76D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be aw</w:t>
      </w:r>
      <w:r w:rsidR="00D54A7A" w:rsidRPr="008E2387">
        <w:rPr>
          <w:rFonts w:ascii="Arial" w:hAnsi="Arial" w:cs="Arial"/>
        </w:rPr>
        <w:t>are of the relevant legislation, S</w:t>
      </w:r>
      <w:r w:rsidR="00D7768A" w:rsidRPr="008E2387">
        <w:rPr>
          <w:rFonts w:ascii="Arial" w:hAnsi="Arial" w:cs="Arial"/>
        </w:rPr>
        <w:t>tatements of Principles</w:t>
      </w:r>
      <w:r w:rsidR="00D54A7A" w:rsidRPr="008E2387">
        <w:rPr>
          <w:rFonts w:ascii="Arial" w:hAnsi="Arial" w:cs="Arial"/>
        </w:rPr>
        <w:t xml:space="preserve"> and case law </w:t>
      </w:r>
      <w:r w:rsidRPr="008E2387">
        <w:rPr>
          <w:rFonts w:ascii="Arial" w:hAnsi="Arial" w:cs="Arial"/>
        </w:rPr>
        <w:t xml:space="preserve">which are relevant, regardless of whether they support or detract from the case; and </w:t>
      </w:r>
    </w:p>
    <w:p w:rsidR="00DC76D0" w:rsidRPr="008E2387" w:rsidRDefault="00DC76D0" w:rsidP="00DC76D0">
      <w:pPr>
        <w:ind w:left="360"/>
        <w:jc w:val="both"/>
        <w:rPr>
          <w:rFonts w:ascii="Arial" w:hAnsi="Arial" w:cs="Arial"/>
        </w:rPr>
      </w:pPr>
    </w:p>
    <w:p w:rsidR="00DC76D0" w:rsidRDefault="00DC76D0" w:rsidP="00D54A7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 w:rsidRPr="008E2387">
        <w:rPr>
          <w:rFonts w:ascii="Arial" w:hAnsi="Arial" w:cs="Arial"/>
        </w:rPr>
        <w:t>act courteously and behave in a proper manner before the Board</w:t>
      </w:r>
      <w:r w:rsidR="006B1ACC" w:rsidRPr="008E2387">
        <w:rPr>
          <w:rFonts w:ascii="Arial" w:hAnsi="Arial" w:cs="Arial"/>
        </w:rPr>
        <w:t xml:space="preserve"> including treating </w:t>
      </w:r>
      <w:r w:rsidR="00D54A7A" w:rsidRPr="008E2387">
        <w:rPr>
          <w:rFonts w:ascii="Arial" w:hAnsi="Arial" w:cs="Arial"/>
        </w:rPr>
        <w:t>other parties</w:t>
      </w:r>
      <w:r w:rsidR="00B979B1" w:rsidRPr="008E2387">
        <w:rPr>
          <w:rFonts w:ascii="Arial" w:hAnsi="Arial" w:cs="Arial"/>
        </w:rPr>
        <w:t xml:space="preserve">, including Commission representatives, and all members and </w:t>
      </w:r>
      <w:r w:rsidR="006B1ACC" w:rsidRPr="008E2387">
        <w:rPr>
          <w:rFonts w:ascii="Arial" w:hAnsi="Arial" w:cs="Arial"/>
        </w:rPr>
        <w:t>staff</w:t>
      </w:r>
      <w:r w:rsidR="00B979B1" w:rsidRPr="008E2387">
        <w:rPr>
          <w:rFonts w:ascii="Arial" w:hAnsi="Arial" w:cs="Arial"/>
        </w:rPr>
        <w:t xml:space="preserve"> of the Board</w:t>
      </w:r>
      <w:r w:rsidR="006B1ACC" w:rsidRPr="008E2387">
        <w:rPr>
          <w:rFonts w:ascii="Arial" w:hAnsi="Arial" w:cs="Arial"/>
        </w:rPr>
        <w:t xml:space="preserve"> with courtesy and respect</w:t>
      </w:r>
      <w:r w:rsidR="00D54A7A" w:rsidRPr="008E2387">
        <w:rPr>
          <w:rFonts w:ascii="Arial" w:hAnsi="Arial" w:cs="Arial"/>
        </w:rPr>
        <w:t xml:space="preserve">. </w:t>
      </w:r>
    </w:p>
    <w:p w:rsidR="008E2387" w:rsidRDefault="008E2387" w:rsidP="008E2387">
      <w:pPr>
        <w:pStyle w:val="ListParagraph"/>
        <w:rPr>
          <w:rFonts w:ascii="Arial" w:hAnsi="Arial" w:cs="Arial"/>
        </w:rPr>
      </w:pPr>
    </w:p>
    <w:p w:rsidR="008E2387" w:rsidRDefault="008E2387" w:rsidP="008E2387">
      <w:pPr>
        <w:jc w:val="both"/>
        <w:rPr>
          <w:rFonts w:ascii="Arial" w:hAnsi="Arial" w:cs="Arial"/>
        </w:rPr>
      </w:pPr>
      <w:bookmarkStart w:id="0" w:name="_GoBack"/>
      <w:bookmarkEnd w:id="0"/>
    </w:p>
    <w:p w:rsidR="008E2387" w:rsidRDefault="008E2387" w:rsidP="008E2387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Jane Anderson</w:t>
      </w:r>
    </w:p>
    <w:p w:rsidR="008E2387" w:rsidRDefault="008E2387" w:rsidP="008E2387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Principal Member</w:t>
      </w:r>
    </w:p>
    <w:p w:rsidR="008E2387" w:rsidRPr="00D04FE9" w:rsidRDefault="008E2387" w:rsidP="008E2387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29 October 2018 </w:t>
      </w:r>
    </w:p>
    <w:p w:rsidR="008E2387" w:rsidRPr="008E2387" w:rsidRDefault="008E2387" w:rsidP="008E2387">
      <w:pPr>
        <w:jc w:val="both"/>
        <w:rPr>
          <w:rFonts w:ascii="Arial" w:hAnsi="Arial" w:cs="Arial"/>
        </w:rPr>
      </w:pPr>
    </w:p>
    <w:sectPr w:rsidR="008E2387" w:rsidRPr="008E23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F2" w:rsidRDefault="00E675F2" w:rsidP="00E675F2">
      <w:r>
        <w:separator/>
      </w:r>
    </w:p>
  </w:endnote>
  <w:endnote w:type="continuationSeparator" w:id="0">
    <w:p w:rsidR="00E675F2" w:rsidRDefault="00E675F2" w:rsidP="00E675F2">
      <w:r>
        <w:continuationSeparator/>
      </w:r>
    </w:p>
  </w:endnote>
  <w:endnote w:id="1">
    <w:p w:rsidR="00B979B1" w:rsidRPr="00E675F2" w:rsidRDefault="00B979B1" w:rsidP="00B979B1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Pr="001275E8">
        <w:rPr>
          <w:rFonts w:ascii="Arial" w:hAnsi="Arial" w:cs="Arial"/>
        </w:rPr>
        <w:t>S</w:t>
      </w:r>
      <w:r w:rsidRPr="001275E8">
        <w:rPr>
          <w:rFonts w:ascii="Arial" w:eastAsiaTheme="minorHAnsi" w:hAnsi="Arial" w:cs="Arial"/>
          <w:lang w:eastAsia="en-US"/>
        </w:rPr>
        <w:t>ection 147(3) of the </w:t>
      </w:r>
      <w:r w:rsidRPr="001275E8">
        <w:rPr>
          <w:rFonts w:ascii="Arial" w:eastAsiaTheme="minorHAnsi" w:hAnsi="Arial" w:cs="Arial"/>
          <w:i/>
          <w:iCs/>
          <w:lang w:eastAsia="en-US"/>
        </w:rPr>
        <w:t>Veterans' Entitlements Act</w:t>
      </w:r>
      <w:r w:rsidRPr="001275E8">
        <w:rPr>
          <w:rFonts w:ascii="Arial" w:eastAsiaTheme="minorHAnsi" w:hAnsi="Arial" w:cs="Arial"/>
          <w:lang w:eastAsia="en-US"/>
        </w:rPr>
        <w:t xml:space="preserve"> 1986 (</w:t>
      </w:r>
      <w:proofErr w:type="spellStart"/>
      <w:r w:rsidRPr="001275E8">
        <w:rPr>
          <w:rFonts w:ascii="Arial" w:eastAsiaTheme="minorHAnsi" w:hAnsi="Arial" w:cs="Arial"/>
          <w:lang w:eastAsia="en-US"/>
        </w:rPr>
        <w:t>Cth</w:t>
      </w:r>
      <w:proofErr w:type="spellEnd"/>
      <w:r w:rsidRPr="001275E8">
        <w:rPr>
          <w:rFonts w:ascii="Arial" w:eastAsiaTheme="minorHAnsi" w:hAnsi="Arial" w:cs="Arial"/>
          <w:lang w:eastAsia="en-US"/>
        </w:rPr>
        <w:t>)</w:t>
      </w:r>
    </w:p>
  </w:endnote>
  <w:endnote w:id="2">
    <w:p w:rsidR="001275E8" w:rsidRPr="001275E8" w:rsidRDefault="001275E8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Pr="001275E8">
        <w:rPr>
          <w:rFonts w:ascii="Arial" w:hAnsi="Arial" w:cs="Arial"/>
        </w:rPr>
        <w:t>Section 148(9) of the</w:t>
      </w:r>
      <w:r w:rsidRPr="00F409A0">
        <w:rPr>
          <w:rFonts w:ascii="Arial" w:hAnsi="Arial" w:cs="Arial"/>
          <w:i/>
        </w:rPr>
        <w:t xml:space="preserve"> Veterans’ Entitlements Act 1986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Cth</w:t>
      </w:r>
      <w:proofErr w:type="spellEnd"/>
      <w:r>
        <w:rPr>
          <w:rFonts w:ascii="Arial" w:hAnsi="Arial" w:cs="Arial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usGov Inline 4U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6D0" w:rsidRDefault="008016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6D0" w:rsidRDefault="008016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6D0" w:rsidRDefault="008016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F2" w:rsidRDefault="00E675F2" w:rsidP="00E675F2">
      <w:r>
        <w:separator/>
      </w:r>
    </w:p>
  </w:footnote>
  <w:footnote w:type="continuationSeparator" w:id="0">
    <w:p w:rsidR="00E675F2" w:rsidRDefault="00E675F2" w:rsidP="00E67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6D0" w:rsidRDefault="008016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6D0" w:rsidRDefault="008016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6D0" w:rsidRDefault="008016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D63CD"/>
    <w:multiLevelType w:val="hybridMultilevel"/>
    <w:tmpl w:val="F8FC99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00E71"/>
    <w:multiLevelType w:val="multilevel"/>
    <w:tmpl w:val="1FAC6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70C0"/>
      </w:rPr>
    </w:lvl>
    <w:lvl w:ilvl="1">
      <w:start w:val="4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6B195AF9"/>
    <w:multiLevelType w:val="hybridMultilevel"/>
    <w:tmpl w:val="BD0279D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617A3"/>
    <w:multiLevelType w:val="hybridMultilevel"/>
    <w:tmpl w:val="F248490A"/>
    <w:lvl w:ilvl="0" w:tplc="0001040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739578CB"/>
    <w:multiLevelType w:val="hybridMultilevel"/>
    <w:tmpl w:val="A14A448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3FE3399"/>
    <w:multiLevelType w:val="hybridMultilevel"/>
    <w:tmpl w:val="8646C93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6D0"/>
    <w:rsid w:val="001275E8"/>
    <w:rsid w:val="002E075C"/>
    <w:rsid w:val="00302801"/>
    <w:rsid w:val="005448E8"/>
    <w:rsid w:val="00601E5A"/>
    <w:rsid w:val="006655D6"/>
    <w:rsid w:val="006B1ACC"/>
    <w:rsid w:val="008016D0"/>
    <w:rsid w:val="008630AE"/>
    <w:rsid w:val="008E2387"/>
    <w:rsid w:val="008F79C6"/>
    <w:rsid w:val="009002DD"/>
    <w:rsid w:val="00B979B1"/>
    <w:rsid w:val="00CA1810"/>
    <w:rsid w:val="00D12BD2"/>
    <w:rsid w:val="00D54A7A"/>
    <w:rsid w:val="00D7768A"/>
    <w:rsid w:val="00DC76D0"/>
    <w:rsid w:val="00E675F2"/>
    <w:rsid w:val="00F37298"/>
    <w:rsid w:val="00F4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C1884BA-06B1-4578-BF8A-FA09944A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81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675F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75F2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rsid w:val="00E675F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5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5D6"/>
    <w:rPr>
      <w:rFonts w:ascii="Segoe UI" w:eastAsia="Times New Roman" w:hAnsi="Segoe UI" w:cs="Segoe UI"/>
      <w:sz w:val="18"/>
      <w:szCs w:val="1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016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D0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8016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D0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8F6D9-8201-4588-BD9B-1CDD33A6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Harry, Katrina</dc:creator>
  <cp:keywords/>
  <dc:description/>
  <cp:lastModifiedBy>Harry, Katrina</cp:lastModifiedBy>
  <cp:revision>3</cp:revision>
  <cp:lastPrinted>2018-10-29T07:14:00Z</cp:lastPrinted>
  <dcterms:created xsi:type="dcterms:W3CDTF">2018-10-29T07:15:00Z</dcterms:created>
  <dcterms:modified xsi:type="dcterms:W3CDTF">2018-10-29T07:15:00Z</dcterms:modified>
</cp:coreProperties>
</file>